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t>ПСКОВСКАЯ ОБЛАСТЬ</w:t>
      </w:r>
    </w:p>
    <w:p>
      <w:pPr>
        <w:pStyle w:val="Normal"/>
        <w:jc w:val="center"/>
        <w:rPr/>
      </w:pPr>
      <w:r>
        <w:rPr/>
        <w:t>ДЕДОВИЧСКИЙ РАЙОН</w:t>
      </w:r>
    </w:p>
    <w:p>
      <w:pPr>
        <w:pStyle w:val="Normal"/>
        <w:jc w:val="center"/>
        <w:rPr/>
      </w:pPr>
      <w:r>
        <w:rPr/>
      </w:r>
    </w:p>
    <w:p>
      <w:pPr>
        <w:pStyle w:val="Normal"/>
        <w:jc w:val="center"/>
        <w:rPr/>
      </w:pPr>
      <w:r>
        <w:rPr/>
        <w:t>СОБРАНИЕ ДЕПУТАТОВ СЕЛЬСКОГО ПОСЕЛЕНИЯ</w:t>
      </w:r>
    </w:p>
    <w:p>
      <w:pPr>
        <w:pStyle w:val="Normal"/>
        <w:jc w:val="center"/>
        <w:rPr/>
      </w:pPr>
      <w:r>
        <w:rPr/>
        <w:t>«ВЯЗЬЕВСКАЯ ВОЛОСТЬ»</w:t>
      </w:r>
    </w:p>
    <w:p>
      <w:pPr>
        <w:pStyle w:val="Normal"/>
        <w:jc w:val="center"/>
        <w:rPr/>
      </w:pPr>
      <w:r>
        <w:rPr/>
      </w:r>
    </w:p>
    <w:p>
      <w:pPr>
        <w:pStyle w:val="Normal"/>
        <w:tabs>
          <w:tab w:val="clear" w:pos="708"/>
          <w:tab w:val="center" w:pos="4818" w:leader="none"/>
          <w:tab w:val="left" w:pos="8087" w:leader="none"/>
        </w:tabs>
        <w:rPr>
          <w:b/>
        </w:rPr>
      </w:pPr>
      <w:r>
        <w:rPr/>
        <w:tab/>
        <w:t>РЕШЕНИЕ</w:t>
      </w:r>
    </w:p>
    <w:p>
      <w:pPr>
        <w:pStyle w:val="Normal"/>
        <w:jc w:val="both"/>
        <w:rPr/>
      </w:pPr>
      <w:r>
        <w:rPr/>
      </w:r>
    </w:p>
    <w:p>
      <w:pPr>
        <w:pStyle w:val="Normal"/>
        <w:jc w:val="both"/>
        <w:rPr>
          <w:sz w:val="24"/>
          <w:szCs w:val="24"/>
        </w:rPr>
      </w:pPr>
      <w:r>
        <w:rPr>
          <w:sz w:val="24"/>
          <w:szCs w:val="24"/>
        </w:rPr>
        <w:t>от 17.05.2024 № 14</w:t>
      </w:r>
      <w:r>
        <w:rPr>
          <w:sz w:val="24"/>
          <w:szCs w:val="24"/>
        </w:rPr>
        <w:t>8</w:t>
      </w:r>
    </w:p>
    <w:p>
      <w:pPr>
        <w:pStyle w:val="Normal"/>
        <w:jc w:val="both"/>
        <w:rPr>
          <w:sz w:val="24"/>
          <w:szCs w:val="24"/>
        </w:rPr>
      </w:pPr>
      <w:r>
        <w:rPr>
          <w:sz w:val="24"/>
          <w:szCs w:val="24"/>
        </w:rPr>
        <w:t>(принято на двадцать первом заседании</w:t>
      </w:r>
    </w:p>
    <w:p>
      <w:pPr>
        <w:pStyle w:val="Normal"/>
        <w:jc w:val="both"/>
        <w:rPr>
          <w:sz w:val="24"/>
          <w:szCs w:val="24"/>
        </w:rPr>
      </w:pPr>
      <w:r>
        <w:rPr>
          <w:sz w:val="24"/>
          <w:szCs w:val="24"/>
        </w:rPr>
        <w:t>Собрания депутатов второго созыва</w:t>
      </w:r>
    </w:p>
    <w:p>
      <w:pPr>
        <w:pStyle w:val="Normal"/>
        <w:jc w:val="both"/>
        <w:rPr>
          <w:sz w:val="24"/>
          <w:szCs w:val="24"/>
        </w:rPr>
      </w:pPr>
      <w:r>
        <w:rPr>
          <w:rFonts w:cs="Times New Roman"/>
          <w:sz w:val="24"/>
          <w:szCs w:val="24"/>
        </w:rPr>
        <w:t>д. Погостище</w:t>
      </w:r>
    </w:p>
    <w:p>
      <w:pPr>
        <w:pStyle w:val="Normal"/>
        <w:rPr>
          <w:sz w:val="28"/>
          <w:szCs w:val="28"/>
        </w:rPr>
      </w:pPr>
      <w:r>
        <w:rPr>
          <w:sz w:val="28"/>
          <w:szCs w:val="28"/>
        </w:rPr>
      </w:r>
    </w:p>
    <w:p>
      <w:pPr>
        <w:pStyle w:val="Normal"/>
        <w:jc w:val="both"/>
        <w:rPr/>
      </w:pPr>
      <w:r>
        <w:rPr/>
        <w:t>О внесении изменений в Устав</w:t>
      </w:r>
    </w:p>
    <w:p>
      <w:pPr>
        <w:pStyle w:val="Normal"/>
        <w:jc w:val="both"/>
        <w:rPr/>
      </w:pPr>
      <w:r>
        <w:rPr/>
        <w:t>муниципального образования</w:t>
      </w:r>
    </w:p>
    <w:p>
      <w:pPr>
        <w:pStyle w:val="Normal"/>
        <w:jc w:val="both"/>
        <w:rPr/>
      </w:pPr>
      <w:r>
        <w:rPr/>
        <w:t>«Вязьевская волость»</w:t>
      </w:r>
    </w:p>
    <w:p>
      <w:pPr>
        <w:pStyle w:val="Normal"/>
        <w:jc w:val="both"/>
        <w:rPr/>
      </w:pPr>
      <w:r>
        <w:rPr/>
      </w:r>
    </w:p>
    <w:p>
      <w:pPr>
        <w:pStyle w:val="Normal"/>
        <w:ind w:firstLine="540"/>
        <w:jc w:val="both"/>
        <w:rPr/>
      </w:pPr>
      <w:r>
        <w:rPr/>
        <w:t>В соответствии с пунктом 1 части 10 статьи 35 Федерального закона от 06.10.2003 № 131-ФЗ «Об общих принципах организации местного самоуправления в Российской Федерации» Собрание депутатов сельского поселения «Вязьевская волость» РЕШИЛО:</w:t>
      </w:r>
    </w:p>
    <w:p>
      <w:pPr>
        <w:pStyle w:val="Normal"/>
        <w:numPr>
          <w:ilvl w:val="0"/>
          <w:numId w:val="1"/>
        </w:numPr>
        <w:ind w:left="0" w:firstLine="540"/>
        <w:jc w:val="both"/>
        <w:rPr/>
      </w:pPr>
      <w:r>
        <w:rPr/>
        <w:t>Внести в Устав муниципального образования «Вязьевская волость», принятый решением Собрания депутатов сельского поселения «Вязьевская  волость» от 05.11.2015</w:t>
      </w:r>
      <w:r>
        <w:rPr>
          <w:bCs/>
        </w:rPr>
        <w:t xml:space="preserve"> №  16</w:t>
      </w:r>
      <w:r>
        <w:rPr>
          <w:color w:val="000000"/>
        </w:rPr>
        <w:t>,</w:t>
      </w:r>
      <w:r>
        <w:rPr/>
        <w:t xml:space="preserve"> следующие изменения:</w:t>
      </w:r>
    </w:p>
    <w:p>
      <w:pPr>
        <w:pStyle w:val="Normal"/>
        <w:ind w:left="1410" w:hanging="0"/>
        <w:jc w:val="both"/>
        <w:rPr/>
      </w:pPr>
      <w:r>
        <w:rPr/>
      </w:r>
    </w:p>
    <w:p>
      <w:pPr>
        <w:pStyle w:val="Normal"/>
        <w:numPr>
          <w:ilvl w:val="1"/>
          <w:numId w:val="2"/>
        </w:numPr>
        <w:ind w:left="0" w:firstLine="567"/>
        <w:jc w:val="both"/>
        <w:rPr/>
      </w:pPr>
      <w:r>
        <w:rPr/>
        <w:t>Подпункт 12 пункта 1 статьи 4  изложить в следующей редакции:</w:t>
      </w:r>
    </w:p>
    <w:p>
      <w:pPr>
        <w:pStyle w:val="Normal"/>
        <w:ind w:firstLine="540"/>
        <w:jc w:val="both"/>
        <w:rPr/>
      </w:pPr>
      <w:r>
        <w:rPr/>
        <w:t xml:space="preserve">«12) </w:t>
      </w:r>
      <w:r>
        <w:rPr>
          <w:shd w:fill="FFFFFF" w:val="clear"/>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pPr>
        <w:pStyle w:val="Normal"/>
        <w:ind w:firstLine="540"/>
        <w:jc w:val="both"/>
        <w:rPr/>
      </w:pPr>
      <w:r>
        <w:rPr/>
      </w:r>
    </w:p>
    <w:p>
      <w:pPr>
        <w:pStyle w:val="Normal"/>
        <w:ind w:firstLine="567"/>
        <w:rPr/>
      </w:pPr>
      <w:r>
        <w:rPr/>
        <w:t xml:space="preserve">1.2. В статье 20 пункт 5 дополнить абзацем вторым следующего содержания: </w:t>
      </w:r>
    </w:p>
    <w:p>
      <w:pPr>
        <w:pStyle w:val="Normal"/>
        <w:ind w:firstLine="540"/>
        <w:jc w:val="both"/>
        <w:rPr/>
      </w:pPr>
      <w:r>
        <w:rPr/>
        <w:t>«6.</w:t>
      </w:r>
      <w:r>
        <w:rPr>
          <w:shd w:fill="FFFFFF" w:val="clear"/>
        </w:rPr>
        <w:t xml:space="preserve">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Pr/>
        <w:t>от 6 октября 2003 года N 131-ФЗ "Об общих принципах организации местного самоуправления в Российской Федерации"</w:t>
      </w:r>
      <w:r>
        <w:rPr>
          <w:shd w:fill="FFFFFF" w:val="clear"/>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r>
        <w:fldChar w:fldCharType="begin"/>
      </w:r>
      <w:r>
        <w:rPr>
          <w:rStyle w:val="-"/>
          <w:u w:val="none"/>
          <w:shd w:fill="FFFFFF" w:val="clear"/>
          <w:color w:val="000000"/>
        </w:rPr>
        <w:instrText xml:space="preserve"> HYPERLINK "https://www.consultant.ru/document/cons_doc_LAW_464894/98b73280366f58e51bc537f966aaf48159cacda7/" \l "dst336"</w:instrText>
      </w:r>
      <w:r>
        <w:rPr>
          <w:rStyle w:val="-"/>
          <w:u w:val="none"/>
          <w:shd w:fill="FFFFFF" w:val="clear"/>
          <w:color w:val="000000"/>
        </w:rPr>
        <w:fldChar w:fldCharType="separate"/>
      </w:r>
      <w:r>
        <w:rPr>
          <w:rStyle w:val="-"/>
          <w:color w:val="000000"/>
          <w:u w:val="none"/>
          <w:shd w:fill="FFFFFF" w:val="clear"/>
        </w:rPr>
        <w:t>частями 3</w:t>
      </w:r>
      <w:r>
        <w:rPr>
          <w:rStyle w:val="-"/>
          <w:u w:val="none"/>
          <w:shd w:fill="FFFFFF" w:val="clear"/>
          <w:color w:val="000000"/>
        </w:rPr>
        <w:fldChar w:fldCharType="end"/>
      </w:r>
      <w:r>
        <w:rPr>
          <w:shd w:fill="FFFFFF" w:val="clear"/>
        </w:rPr>
        <w:t> - </w:t>
      </w:r>
      <w:r>
        <w:fldChar w:fldCharType="begin"/>
      </w:r>
      <w:r>
        <w:rPr>
          <w:rStyle w:val="-"/>
          <w:u w:val="none"/>
          <w:shd w:fill="FFFFFF" w:val="clear"/>
          <w:color w:val="000000"/>
        </w:rPr>
        <w:instrText xml:space="preserve"> HYPERLINK "https://www.consultant.ru/document/cons_doc_LAW_464894/98b73280366f58e51bc537f966aaf48159cacda7/" \l "dst339"</w:instrText>
      </w:r>
      <w:r>
        <w:rPr>
          <w:rStyle w:val="-"/>
          <w:u w:val="none"/>
          <w:shd w:fill="FFFFFF" w:val="clear"/>
          <w:color w:val="000000"/>
        </w:rPr>
        <w:fldChar w:fldCharType="separate"/>
      </w:r>
      <w:r>
        <w:rPr>
          <w:rStyle w:val="-"/>
          <w:color w:val="000000"/>
          <w:u w:val="none"/>
          <w:shd w:fill="FFFFFF" w:val="clear"/>
        </w:rPr>
        <w:t>6 статьи 13</w:t>
      </w:r>
      <w:r>
        <w:rPr>
          <w:rStyle w:val="-"/>
          <w:u w:val="none"/>
          <w:shd w:fill="FFFFFF" w:val="clear"/>
          <w:color w:val="000000"/>
        </w:rPr>
        <w:fldChar w:fldCharType="end"/>
      </w:r>
      <w:r>
        <w:rPr>
          <w:shd w:fill="FFFFFF" w:val="clear"/>
        </w:rPr>
        <w:t> Федерального закона от 25 декабря 2008 года N 273-ФЗ "О противодействии коррупции".</w:t>
      </w:r>
      <w:r>
        <w:rPr/>
        <w:t>».</w:t>
      </w:r>
    </w:p>
    <w:p>
      <w:pPr>
        <w:pStyle w:val="Normal"/>
        <w:ind w:firstLine="540"/>
        <w:jc w:val="both"/>
        <w:rPr/>
      </w:pPr>
      <w:r>
        <w:rPr/>
      </w:r>
    </w:p>
    <w:p>
      <w:pPr>
        <w:pStyle w:val="Normal"/>
        <w:ind w:firstLine="540"/>
        <w:jc w:val="both"/>
        <w:rPr/>
      </w:pPr>
      <w:r>
        <w:rPr/>
        <w:t>1.3. Статью 26 дополнить пунктом 7 следующего содержания:</w:t>
      </w:r>
    </w:p>
    <w:p>
      <w:pPr>
        <w:pStyle w:val="Normal"/>
        <w:ind w:firstLine="547"/>
        <w:jc w:val="both"/>
        <w:rPr/>
      </w:pPr>
      <w:r>
        <w:rPr/>
        <w:t xml:space="preserve">«7. Депутат Собрания депутатов поселения </w:t>
      </w:r>
      <w:r>
        <w:rPr>
          <w:shd w:fill="FFFFFF" w:val="clear"/>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Pr/>
        <w:t>от 6 октября 2003 года N 131-ФЗ "Об общих принципах организации местного самоуправления в Российской Федерации"</w:t>
      </w:r>
      <w:r>
        <w:rPr>
          <w:shd w:fill="FFFFFF" w:val="clear"/>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r>
        <w:fldChar w:fldCharType="begin"/>
      </w:r>
      <w:r>
        <w:rPr>
          <w:rStyle w:val="-"/>
          <w:u w:val="none"/>
          <w:shd w:fill="FFFFFF" w:val="clear"/>
          <w:color w:val="000000"/>
        </w:rPr>
        <w:instrText xml:space="preserve"> HYPERLINK "https://www.consultant.ru/document/cons_doc_LAW_464894/98b73280366f58e51bc537f966aaf48159cacda7/" \l "dst336"</w:instrText>
      </w:r>
      <w:r>
        <w:rPr>
          <w:rStyle w:val="-"/>
          <w:u w:val="none"/>
          <w:shd w:fill="FFFFFF" w:val="clear"/>
          <w:color w:val="000000"/>
        </w:rPr>
        <w:fldChar w:fldCharType="separate"/>
      </w:r>
      <w:r>
        <w:rPr>
          <w:rStyle w:val="-"/>
          <w:color w:val="000000"/>
          <w:u w:val="none"/>
          <w:shd w:fill="FFFFFF" w:val="clear"/>
        </w:rPr>
        <w:t>частями 3</w:t>
      </w:r>
      <w:r>
        <w:rPr>
          <w:rStyle w:val="-"/>
          <w:u w:val="none"/>
          <w:shd w:fill="FFFFFF" w:val="clear"/>
          <w:color w:val="000000"/>
        </w:rPr>
        <w:fldChar w:fldCharType="end"/>
      </w:r>
      <w:r>
        <w:rPr>
          <w:shd w:fill="FFFFFF" w:val="clear"/>
        </w:rPr>
        <w:t> - </w:t>
      </w:r>
      <w:r>
        <w:fldChar w:fldCharType="begin"/>
      </w:r>
      <w:r>
        <w:rPr>
          <w:rStyle w:val="-"/>
          <w:u w:val="none"/>
          <w:shd w:fill="FFFFFF" w:val="clear"/>
          <w:color w:val="000000"/>
        </w:rPr>
        <w:instrText xml:space="preserve"> HYPERLINK "https://www.consultant.ru/document/cons_doc_LAW_464894/98b73280366f58e51bc537f966aaf48159cacda7/" \l "dst339"</w:instrText>
      </w:r>
      <w:r>
        <w:rPr>
          <w:rStyle w:val="-"/>
          <w:u w:val="none"/>
          <w:shd w:fill="FFFFFF" w:val="clear"/>
          <w:color w:val="000000"/>
        </w:rPr>
        <w:fldChar w:fldCharType="separate"/>
      </w:r>
      <w:r>
        <w:rPr>
          <w:rStyle w:val="-"/>
          <w:color w:val="000000"/>
          <w:u w:val="none"/>
          <w:shd w:fill="FFFFFF" w:val="clear"/>
        </w:rPr>
        <w:t>6 статьи 13</w:t>
      </w:r>
      <w:r>
        <w:rPr>
          <w:rStyle w:val="-"/>
          <w:u w:val="none"/>
          <w:shd w:fill="FFFFFF" w:val="clear"/>
          <w:color w:val="000000"/>
        </w:rPr>
        <w:fldChar w:fldCharType="end"/>
      </w:r>
      <w:r>
        <w:rPr>
          <w:shd w:fill="FFFFFF" w:val="clear"/>
        </w:rPr>
        <w:t> Федерального закона от 25 декабря 2008 года N 273-ФЗ "О противодействии коррупции".</w:t>
      </w:r>
      <w:r>
        <w:rPr/>
        <w:t>».</w:t>
      </w:r>
    </w:p>
    <w:p>
      <w:pPr>
        <w:pStyle w:val="Normal"/>
        <w:ind w:firstLine="547"/>
        <w:jc w:val="both"/>
        <w:rPr/>
      </w:pPr>
      <w:r>
        <w:rPr/>
      </w:r>
    </w:p>
    <w:p>
      <w:pPr>
        <w:pStyle w:val="Normal"/>
        <w:ind w:firstLine="547"/>
        <w:jc w:val="both"/>
        <w:rPr/>
      </w:pPr>
      <w:r>
        <w:rPr/>
        <w:t xml:space="preserve">1.4. Статью 28 изложить в следующей редакции: </w:t>
      </w:r>
    </w:p>
    <w:p>
      <w:pPr>
        <w:pStyle w:val="ConsPlusTitle"/>
        <w:numPr>
          <w:ilvl w:val="0"/>
          <w:numId w:val="0"/>
        </w:numPr>
        <w:ind w:firstLine="540"/>
        <w:jc w:val="both"/>
        <w:outlineLvl w:val="2"/>
        <w:rPr>
          <w:rFonts w:ascii="Times New Roman" w:hAnsi="Times New Roman" w:cs="Times New Roman"/>
          <w:b w:val="false"/>
          <w:sz w:val="24"/>
          <w:szCs w:val="24"/>
        </w:rPr>
      </w:pPr>
      <w:r>
        <w:rPr>
          <w:b w:val="false"/>
        </w:rPr>
        <w:t>«</w:t>
      </w:r>
      <w:r>
        <w:rPr>
          <w:rFonts w:cs="Times New Roman" w:ascii="Times New Roman" w:hAnsi="Times New Roman"/>
          <w:b w:val="false"/>
          <w:sz w:val="24"/>
          <w:szCs w:val="24"/>
        </w:rPr>
        <w:t>Статья 28. Досрочное прекращение полномочий депутата Собрания депутатов поселения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 Депутат Собрания депутатов поселения досрочно прекращает свои полномочия в случае:</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 смерти;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 отставки по собственному желанию;</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 признания судом недееспособным или ограниченно дееспособным;</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4) признания судом безвестно отсутствующим или объявления умершим;</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5) вступления в отношении его в законную силу обвинительного приговора суда;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6) выезда за пределы Российской Федерации на постоянное место жительства;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8) отзыва избирателями;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9) досрочного прекращения полномочий Собрания депутатов поселения;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10) призыва на военную службу или направления на заменяющую ее альтернативную службу;</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11) в иных случаях, установленных Федеральным </w:t>
      </w:r>
      <w:hyperlink r:id="rId2">
        <w:r>
          <w:rPr>
            <w:rFonts w:cs="Times New Roman" w:ascii="Times New Roman" w:hAnsi="Times New Roman"/>
            <w:sz w:val="24"/>
            <w:szCs w:val="24"/>
          </w:rPr>
          <w:t>законом</w:t>
        </w:r>
      </w:hyperlink>
      <w:r>
        <w:rPr>
          <w:rFonts w:cs="Times New Roman" w:ascii="Times New Roman" w:hAnsi="Times New Roman"/>
          <w:sz w:val="24"/>
          <w:szCs w:val="24"/>
        </w:rPr>
        <w:t xml:space="preserve"> "Об общих принципах организации местного самоуправления в Российской Федерации" и иными федеральными законами.</w:t>
      </w:r>
    </w:p>
    <w:p>
      <w:pPr>
        <w:pStyle w:val="Normal"/>
        <w:ind w:firstLine="547"/>
        <w:jc w:val="both"/>
        <w:rPr/>
      </w:pPr>
      <w:r>
        <w:rPr>
          <w:shd w:fill="FFFFFF" w:val="clear"/>
        </w:rPr>
        <w:t>2. Полномочия депутата Собрания депутатов поселения прекращаются досрочно решением Собрания депутатов поселения в случае отсутствия депутата без уважительных причин на всех заседаниях Собрания депутатов поселения в течение шести месяцев подряд.</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 Решение Собрания депутатов поселения о досрочном прекращении полномочий депутата Собрания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поселения, - не позднее чем через три месяца со дня появления такого основания.».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540"/>
        <w:rPr/>
      </w:pPr>
      <w:r>
        <w:rPr/>
        <w:t>1.5.  Подпункт 11 пункта 2 статьи 30 изложить в следующей редакции</w:t>
      </w:r>
    </w:p>
    <w:p>
      <w:pPr>
        <w:pStyle w:val="ConsPlusNormal"/>
        <w:spacing w:before="220" w:after="0"/>
        <w:ind w:firstLine="54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12) организует и осуществляет мероприятия по работе с детьми и молодежью, участвует в реализации молодежной политики, разработке и реализации мер по обеспечению и защите прав и законных интересов молодежи, разработке и реализации муниципальных программ по основным направлениям реализации молодежной политики, организует и осуществляет мониторинг реализации молодежной политики в поселении;»;</w:t>
      </w:r>
    </w:p>
    <w:p>
      <w:pPr>
        <w:pStyle w:val="ConsPlusNormal"/>
        <w:spacing w:before="220" w:after="0"/>
        <w:ind w:firstLine="540"/>
        <w:jc w:val="both"/>
        <w:rPr>
          <w:rFonts w:ascii="Times New Roman" w:hAnsi="Times New Roman" w:cs="Times New Roman"/>
          <w:sz w:val="24"/>
          <w:szCs w:val="24"/>
          <w:shd w:fill="FFFFFF" w:val="clear"/>
        </w:rPr>
      </w:pPr>
      <w:r>
        <w:rPr>
          <w:rFonts w:cs="Times New Roman" w:ascii="Times New Roman" w:hAnsi="Times New Roman"/>
          <w:sz w:val="24"/>
          <w:szCs w:val="24"/>
          <w:shd w:fill="FFFFFF" w:val="clear"/>
        </w:rPr>
        <w:t xml:space="preserve">1.6. Абзац второй пункта 4 статьи 30 изложить в следующей редакции: </w:t>
      </w:r>
    </w:p>
    <w:p>
      <w:pPr>
        <w:pStyle w:val="ConsPlusNormal"/>
        <w:spacing w:before="220" w:after="0"/>
        <w:ind w:firstLine="540"/>
        <w:jc w:val="both"/>
        <w:rPr>
          <w:rFonts w:ascii="Times New Roman" w:hAnsi="Times New Roman" w:cs="Times New Roman"/>
          <w:sz w:val="24"/>
          <w:szCs w:val="24"/>
        </w:rPr>
      </w:pPr>
      <w:r>
        <w:rPr>
          <w:rFonts w:cs="Times New Roman" w:ascii="Times New Roman" w:hAnsi="Times New Roman"/>
          <w:sz w:val="24"/>
          <w:szCs w:val="24"/>
          <w:shd w:fill="FFFFFF" w:val="clear"/>
        </w:rPr>
        <w:t>«Организация и осуществление видов муниципального контроля регулируются Федеральным </w:t>
      </w:r>
      <w:hyperlink r:id="rId3">
        <w:r>
          <w:rPr>
            <w:rStyle w:val="-"/>
            <w:rFonts w:cs="Times New Roman" w:ascii="Times New Roman" w:hAnsi="Times New Roman"/>
            <w:color w:val="000000"/>
            <w:sz w:val="24"/>
            <w:szCs w:val="24"/>
            <w:u w:val="none"/>
            <w:shd w:fill="FFFFFF" w:val="clear"/>
          </w:rPr>
          <w:t>законом</w:t>
        </w:r>
      </w:hyperlink>
      <w:r>
        <w:rPr>
          <w:rFonts w:cs="Times New Roman" w:ascii="Times New Roman" w:hAnsi="Times New Roman"/>
          <w:sz w:val="24"/>
          <w:szCs w:val="24"/>
          <w:shd w:fill="FFFFFF" w:val="clear"/>
        </w:rPr>
        <w:t> от 31 июля 2020 года N 248-ФЗ "О государственном контроле (надзоре) и муниципальном контроле в Российской Федерации".».</w:t>
      </w:r>
    </w:p>
    <w:p>
      <w:pPr>
        <w:pStyle w:val="Normal"/>
        <w:ind w:firstLine="540"/>
        <w:rPr/>
      </w:pPr>
      <w:r>
        <w:rPr/>
      </w:r>
    </w:p>
    <w:p>
      <w:pPr>
        <w:pStyle w:val="Normal"/>
        <w:ind w:firstLine="540"/>
        <w:jc w:val="both"/>
        <w:rPr/>
      </w:pPr>
      <w:r>
        <w:rPr/>
        <w:t>2. Главе сельского поселения «Вязьевская волость» Дубрянину Александру Дмитриевичу в соответствии с требованиями Федерального закона «О государственной регистрации уставов муниципальных образований» направить настоящее решение на государственную регистрацию в регистрационный орган в течение 15 дней со дня его принятия.</w:t>
      </w:r>
    </w:p>
    <w:p>
      <w:pPr>
        <w:pStyle w:val="NormalWeb"/>
        <w:spacing w:before="0" w:after="0"/>
        <w:ind w:firstLine="709"/>
        <w:jc w:val="both"/>
        <w:rPr>
          <w:sz w:val="28"/>
          <w:szCs w:val="28"/>
        </w:rPr>
      </w:pPr>
      <w:r>
        <w:rPr/>
        <w:t xml:space="preserve">3. После государственной регистрации опубликовать настоящее решение в </w:t>
      </w:r>
      <w:bookmarkStart w:id="0" w:name="_GoBack"/>
      <w:bookmarkEnd w:id="0"/>
      <w:r>
        <w:rPr/>
        <w:t>порядке, установленном статьей 33 Устава муниципального образования «Вязьевская волость».</w:t>
      </w:r>
    </w:p>
    <w:p>
      <w:pPr>
        <w:pStyle w:val="NormalWeb"/>
        <w:spacing w:before="0" w:after="0"/>
        <w:ind w:firstLine="709"/>
        <w:jc w:val="both"/>
        <w:rPr>
          <w:color w:val="000000"/>
        </w:rPr>
      </w:pPr>
      <w:r>
        <w:rPr/>
        <w:t>4. Настоящее решение вступает в силу со дня его официального опубликования после государственной регистрации.</w:t>
      </w:r>
    </w:p>
    <w:p>
      <w:pPr>
        <w:pStyle w:val="Normal"/>
        <w:rPr/>
      </w:pPr>
      <w:r>
        <w:rPr/>
      </w:r>
    </w:p>
    <w:p>
      <w:pPr>
        <w:pStyle w:val="Normal"/>
        <w:rPr/>
      </w:pPr>
      <w:r>
        <w:rPr/>
      </w:r>
    </w:p>
    <w:p>
      <w:pPr>
        <w:pStyle w:val="Normal"/>
        <w:rPr/>
      </w:pPr>
      <w:r>
        <w:rPr/>
        <w:t>Глава сельского поселения</w:t>
      </w:r>
    </w:p>
    <w:p>
      <w:pPr>
        <w:pStyle w:val="Normal"/>
        <w:rPr>
          <w:sz w:val="28"/>
          <w:szCs w:val="28"/>
        </w:rPr>
      </w:pPr>
      <w:r>
        <w:rPr/>
        <w:t>«Вязьевская  волость»                                                                                              А.Д. Дубрянин</w:t>
      </w:r>
    </w:p>
    <w:sectPr>
      <w:headerReference w:type="even" r:id="rId4"/>
      <w:headerReference w:type="default" r:id="rId5"/>
      <w:type w:val="nextPage"/>
      <w:pgSz w:w="11906" w:h="16838"/>
      <w:pgMar w:left="1418" w:right="851" w:gutter="0" w:header="709" w:top="851"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roman"/>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0"/>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Style20"/>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ind w:right="360" w:hanging="0"/>
      <w:rPr/>
    </w:pPr>
    <w:r>
      <w:rPr/>
    </w:r>
    <w:r>
      <mc:AlternateContent>
        <mc:Choice Requires="wps">
          <w:drawing>
            <wp:anchor behindDoc="0" distT="0" distB="0" distL="0" distR="0" simplePos="0" locked="0" layoutInCell="0" allowOverlap="1" relativeHeight="3">
              <wp:simplePos x="0" y="0"/>
              <wp:positionH relativeFrom="margin">
                <wp:align>right</wp:align>
              </wp:positionH>
              <wp:positionV relativeFrom="paragraph">
                <wp:posOffset>635</wp:posOffset>
              </wp:positionV>
              <wp:extent cx="76835" cy="175260"/>
              <wp:effectExtent l="0" t="0" r="0" b="0"/>
              <wp:wrapSquare wrapText="bothSides"/>
              <wp:docPr id="2" name="Врезка2"/>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Style20"/>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6.05pt;height:13.8pt;mso-wrap-distance-left:0pt;mso-wrap-distance-right:0pt;mso-wrap-distance-top:0pt;mso-wrap-distance-bottom:0pt;margin-top:0.05pt;mso-position-vertical-relative:text;margin-left:475.8pt;mso-position-horizontal:right;mso-position-horizontal-relative:margin">
              <v:fill opacity="0f"/>
              <v:textbox inset="0in,0in,0in,0in">
                <w:txbxContent>
                  <w:p>
                    <w:pPr>
                      <w:pStyle w:val="Style20"/>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txbxContent>
              </v:textbox>
              <w10:wrap type="squar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10" w:hanging="870"/>
      </w:pPr>
      <w:rPr/>
    </w:lvl>
    <w:lvl w:ilvl="1">
      <w:start w:val="1"/>
      <w:numFmt w:val="decimal"/>
      <w:lvlText w:val="%1.%2."/>
      <w:lvlJc w:val="left"/>
      <w:pPr>
        <w:tabs>
          <w:tab w:val="num" w:pos="0"/>
        </w:tabs>
        <w:ind w:left="900" w:hanging="360"/>
      </w:pPr>
      <w:rPr/>
    </w:lvl>
    <w:lvl w:ilvl="2">
      <w:start w:val="1"/>
      <w:numFmt w:val="decimal"/>
      <w:lvlText w:val="%1.%2.%3."/>
      <w:lvlJc w:val="left"/>
      <w:pPr>
        <w:tabs>
          <w:tab w:val="num" w:pos="0"/>
        </w:tabs>
        <w:ind w:left="1260" w:hanging="720"/>
      </w:pPr>
      <w:rPr/>
    </w:lvl>
    <w:lvl w:ilvl="3">
      <w:start w:val="1"/>
      <w:numFmt w:val="decimal"/>
      <w:lvlText w:val="%1.%2.%3.%4."/>
      <w:lvlJc w:val="left"/>
      <w:pPr>
        <w:tabs>
          <w:tab w:val="num" w:pos="0"/>
        </w:tabs>
        <w:ind w:left="1260" w:hanging="720"/>
      </w:pPr>
      <w:rPr/>
    </w:lvl>
    <w:lvl w:ilvl="4">
      <w:start w:val="1"/>
      <w:numFmt w:val="decimal"/>
      <w:lvlText w:val="%1.%2.%3.%4.%5."/>
      <w:lvlJc w:val="left"/>
      <w:pPr>
        <w:tabs>
          <w:tab w:val="num" w:pos="0"/>
        </w:tabs>
        <w:ind w:left="1620" w:hanging="1080"/>
      </w:pPr>
      <w:rPr/>
    </w:lvl>
    <w:lvl w:ilvl="5">
      <w:start w:val="1"/>
      <w:numFmt w:val="decimal"/>
      <w:lvlText w:val="%1.%2.%3.%4.%5.%6."/>
      <w:lvlJc w:val="left"/>
      <w:pPr>
        <w:tabs>
          <w:tab w:val="num" w:pos="0"/>
        </w:tabs>
        <w:ind w:left="1620" w:hanging="1080"/>
      </w:pPr>
      <w:rPr/>
    </w:lvl>
    <w:lvl w:ilvl="6">
      <w:start w:val="1"/>
      <w:numFmt w:val="decimal"/>
      <w:lvlText w:val="%1.%2.%3.%4.%5.%6.%7."/>
      <w:lvlJc w:val="left"/>
      <w:pPr>
        <w:tabs>
          <w:tab w:val="num" w:pos="0"/>
        </w:tabs>
        <w:ind w:left="1980" w:hanging="1440"/>
      </w:pPr>
      <w:rPr/>
    </w:lvl>
    <w:lvl w:ilvl="7">
      <w:start w:val="1"/>
      <w:numFmt w:val="decimal"/>
      <w:lvlText w:val="%1.%2.%3.%4.%5.%6.%7.%8."/>
      <w:lvlJc w:val="left"/>
      <w:pPr>
        <w:tabs>
          <w:tab w:val="num" w:pos="0"/>
        </w:tabs>
        <w:ind w:left="1980" w:hanging="1440"/>
      </w:pPr>
      <w:rPr/>
    </w:lvl>
    <w:lvl w:ilvl="8">
      <w:start w:val="1"/>
      <w:numFmt w:val="decimal"/>
      <w:lvlText w:val="%1.%2.%3.%4.%5.%6.%7.%8.%9."/>
      <w:lvlJc w:val="left"/>
      <w:pPr>
        <w:tabs>
          <w:tab w:val="num" w:pos="0"/>
        </w:tabs>
        <w:ind w:left="2340" w:hanging="1800"/>
      </w:pPr>
      <w:rPr/>
    </w:lvl>
  </w:abstractNum>
  <w:abstractNum w:abstractNumId="2">
    <w:lvl w:ilvl="0">
      <w:start w:val="1"/>
      <w:numFmt w:val="decimal"/>
      <w:lvlText w:val="%1"/>
      <w:lvlJc w:val="left"/>
      <w:pPr>
        <w:tabs>
          <w:tab w:val="num" w:pos="0"/>
        </w:tabs>
        <w:ind w:left="360" w:hanging="360"/>
      </w:pPr>
      <w:rPr/>
    </w:lvl>
    <w:lvl w:ilvl="1">
      <w:start w:val="1"/>
      <w:numFmt w:val="decimal"/>
      <w:lvlText w:val="%1.%2"/>
      <w:lvlJc w:val="left"/>
      <w:pPr>
        <w:tabs>
          <w:tab w:val="num" w:pos="0"/>
        </w:tabs>
        <w:ind w:left="1770" w:hanging="360"/>
      </w:pPr>
      <w:rPr/>
    </w:lvl>
    <w:lvl w:ilvl="2">
      <w:start w:val="1"/>
      <w:numFmt w:val="decimal"/>
      <w:lvlText w:val="%1.%2.%3"/>
      <w:lvlJc w:val="left"/>
      <w:pPr>
        <w:tabs>
          <w:tab w:val="num" w:pos="0"/>
        </w:tabs>
        <w:ind w:left="3540" w:hanging="720"/>
      </w:pPr>
      <w:rPr/>
    </w:lvl>
    <w:lvl w:ilvl="3">
      <w:start w:val="1"/>
      <w:numFmt w:val="decimal"/>
      <w:lvlText w:val="%1.%2.%3.%4"/>
      <w:lvlJc w:val="left"/>
      <w:pPr>
        <w:tabs>
          <w:tab w:val="num" w:pos="0"/>
        </w:tabs>
        <w:ind w:left="4950" w:hanging="720"/>
      </w:pPr>
      <w:rPr/>
    </w:lvl>
    <w:lvl w:ilvl="4">
      <w:start w:val="1"/>
      <w:numFmt w:val="decimal"/>
      <w:lvlText w:val="%1.%2.%3.%4.%5"/>
      <w:lvlJc w:val="left"/>
      <w:pPr>
        <w:tabs>
          <w:tab w:val="num" w:pos="0"/>
        </w:tabs>
        <w:ind w:left="6720" w:hanging="1080"/>
      </w:pPr>
      <w:rPr/>
    </w:lvl>
    <w:lvl w:ilvl="5">
      <w:start w:val="1"/>
      <w:numFmt w:val="decimal"/>
      <w:lvlText w:val="%1.%2.%3.%4.%5.%6"/>
      <w:lvlJc w:val="left"/>
      <w:pPr>
        <w:tabs>
          <w:tab w:val="num" w:pos="0"/>
        </w:tabs>
        <w:ind w:left="8130" w:hanging="1080"/>
      </w:pPr>
      <w:rPr/>
    </w:lvl>
    <w:lvl w:ilvl="6">
      <w:start w:val="1"/>
      <w:numFmt w:val="decimal"/>
      <w:lvlText w:val="%1.%2.%3.%4.%5.%6.%7"/>
      <w:lvlJc w:val="left"/>
      <w:pPr>
        <w:tabs>
          <w:tab w:val="num" w:pos="0"/>
        </w:tabs>
        <w:ind w:left="9900" w:hanging="1440"/>
      </w:pPr>
      <w:rPr/>
    </w:lvl>
    <w:lvl w:ilvl="7">
      <w:start w:val="1"/>
      <w:numFmt w:val="decimal"/>
      <w:lvlText w:val="%1.%2.%3.%4.%5.%6.%7.%8"/>
      <w:lvlJc w:val="left"/>
      <w:pPr>
        <w:tabs>
          <w:tab w:val="num" w:pos="0"/>
        </w:tabs>
        <w:ind w:left="11310" w:hanging="1440"/>
      </w:pPr>
      <w:rPr/>
    </w:lvl>
    <w:lvl w:ilvl="8">
      <w:start w:val="1"/>
      <w:numFmt w:val="decimal"/>
      <w:lvlText w:val="%1.%2.%3.%4.%5.%6.%7.%8.%9"/>
      <w:lvlJc w:val="left"/>
      <w:pPr>
        <w:tabs>
          <w:tab w:val="num" w:pos="0"/>
        </w:tabs>
        <w:ind w:left="13080" w:hanging="180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f41fee"/>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ed02f7"/>
    <w:rPr/>
  </w:style>
  <w:style w:type="character" w:styleId="-">
    <w:name w:val="Hyperlink"/>
    <w:basedOn w:val="DefaultParagraphFont"/>
    <w:uiPriority w:val="99"/>
    <w:unhideWhenUsed/>
    <w:rsid w:val="001303e2"/>
    <w:rPr>
      <w:color w:val="0000FF"/>
      <w:u w:val="single"/>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name w:val="Колонтитул"/>
    <w:basedOn w:val="Normal"/>
    <w:qFormat/>
    <w:pPr/>
    <w:rPr/>
  </w:style>
  <w:style w:type="paragraph" w:styleId="Style20">
    <w:name w:val="Header"/>
    <w:basedOn w:val="Normal"/>
    <w:rsid w:val="00ed02f7"/>
    <w:pPr>
      <w:tabs>
        <w:tab w:val="clear" w:pos="708"/>
        <w:tab w:val="center" w:pos="4677" w:leader="none"/>
        <w:tab w:val="right" w:pos="9355" w:leader="none"/>
      </w:tabs>
    </w:pPr>
    <w:rPr/>
  </w:style>
  <w:style w:type="paragraph" w:styleId="ConsPlusNormal" w:customStyle="1">
    <w:name w:val="ConsPlusNormal"/>
    <w:qFormat/>
    <w:rsid w:val="00f41fee"/>
    <w:pPr>
      <w:widowControl w:val="false"/>
      <w:bidi w:val="0"/>
      <w:spacing w:before="0" w:after="0"/>
      <w:ind w:firstLine="720"/>
      <w:jc w:val="left"/>
    </w:pPr>
    <w:rPr>
      <w:rFonts w:ascii="Arial" w:hAnsi="Arial" w:cs="Arial" w:eastAsia="Times New Roman"/>
      <w:color w:val="auto"/>
      <w:kern w:val="0"/>
      <w:sz w:val="20"/>
      <w:szCs w:val="20"/>
      <w:lang w:val="ru-RU" w:eastAsia="ru-RU" w:bidi="ar-SA"/>
    </w:rPr>
  </w:style>
  <w:style w:type="paragraph" w:styleId="ConsPlusTitle" w:customStyle="1">
    <w:name w:val="ConsPlusTitle"/>
    <w:qFormat/>
    <w:rsid w:val="001946d3"/>
    <w:pPr>
      <w:widowControl w:val="false"/>
      <w:bidi w:val="0"/>
      <w:spacing w:before="0" w:after="0"/>
      <w:jc w:val="left"/>
    </w:pPr>
    <w:rPr>
      <w:rFonts w:ascii="Calibri" w:hAnsi="Calibri" w:cs="Calibri" w:eastAsia="Times New Roman"/>
      <w:b/>
      <w:color w:val="auto"/>
      <w:kern w:val="0"/>
      <w:sz w:val="22"/>
      <w:szCs w:val="22"/>
      <w:lang w:val="ru-RU" w:eastAsia="ru-RU" w:bidi="ar-SA"/>
    </w:rPr>
  </w:style>
  <w:style w:type="paragraph" w:styleId="NormalWeb">
    <w:name w:val="Normal (Web)"/>
    <w:basedOn w:val="Normal"/>
    <w:unhideWhenUsed/>
    <w:qFormat/>
    <w:rsid w:val="00847493"/>
    <w:pPr>
      <w:suppressAutoHyphens w:val="true"/>
      <w:spacing w:before="280" w:after="280"/>
    </w:pPr>
    <w:rPr>
      <w:lang w:eastAsia="zh-CN"/>
    </w:rPr>
  </w:style>
  <w:style w:type="paragraph" w:styleId="Style21">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RZB&amp;n=469798" TargetMode="External"/><Relationship Id="rId3" Type="http://schemas.openxmlformats.org/officeDocument/2006/relationships/hyperlink" Target="http://www.consultant.ru/document/cons_doc_LAW_358750/"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Application>LibreOffice/7.5.5.2$Windows_X86_64 LibreOffice_project/ca8fe7424262805f223b9a2334bc7181abbcbf5e</Application>
  <AppVersion>15.0000</AppVersion>
  <Pages>3</Pages>
  <Words>799</Words>
  <Characters>5556</Characters>
  <CharactersWithSpaces>6409</CharactersWithSpaces>
  <Paragraphs>47</Paragraphs>
  <Company>Администравция Дедовичского района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2024-03-22T08:42:00Z</dcterms:created>
  <dc:creator>comp</dc:creator>
  <dc:description/>
  <dc:language>ru-RU</dc:language>
  <cp:lastModifiedBy/>
  <cp:lastPrinted>2018-03-14T15:41:00Z</cp:lastPrinted>
  <dcterms:modified xsi:type="dcterms:W3CDTF">2024-05-16T21:46:01Z</dcterms:modified>
  <cp:revision>27</cp:revision>
  <dc:subject/>
  <dc:title>ПРОЕКТ</dc:title>
</cp:coreProperties>
</file>

<file path=docProps/custom.xml><?xml version="1.0" encoding="utf-8"?>
<Properties xmlns="http://schemas.openxmlformats.org/officeDocument/2006/custom-properties" xmlns:vt="http://schemas.openxmlformats.org/officeDocument/2006/docPropsVTypes"/>
</file>